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scherzerthesis/thesis@a6a894e</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 However, tumor fails to progress past adenoma-like tumors.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 While understanding which altered genes play causal roles in tumor formation and progression is required for personalized medicine, the noisy mutation profiles in lung adenocarcinoma makes it hard to do so. 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 Oncogenic BRAF</w:t>
      </w:r>
      <w:r>
        <w:rPr>
          <w:vertAlign w:val="superscript"/>
        </w:rPr>
        <w:t xml:space="preserve">V600E</w:t>
      </w:r>
      <w:r>
        <w:t xml:space="preserve"> </w:t>
      </w:r>
      <w:r>
        <w:t xml:space="preserve">is a major driver of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GEMMs.Therefore, we sought out to systematically test a variety of known tumor suppressors in lung adenocarcinoma. Furthermore,untilnow,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With Tuba-Seq, we accurately discerned the absolute size of all BRAF</w:t>
      </w:r>
      <w:r>
        <w:rPr>
          <w:vertAlign w:val="superscript"/>
        </w:rPr>
        <w:t xml:space="preserve">V600E</w:t>
      </w:r>
      <w:r>
        <w:t xml:space="preserve"> </w:t>
      </w:r>
      <w:r>
        <w:t xml:space="preserve">lung adenomas, regardless of size. 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 This heterogenous reponse to BRAF</w:t>
      </w:r>
      <w:r>
        <w:rPr>
          <w:vertAlign w:val="superscript"/>
        </w:rPr>
        <w:t xml:space="preserve">V600E</w:t>
      </w:r>
      <w:r>
        <w:t xml:space="preserve"> </w:t>
      </w:r>
      <w:r>
        <w:t xml:space="preserve">activation likely reflects intrinisic differences between individual cell states. Indeed, tumorigenic potential can vary greatly due to different cell types (AT2 vs Club cell vs AT1), or can be influenced by subtle differences within a cell type, such proximity to supporting stromal cells such as fibroblast or immune cells. 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 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 Therefore, both APC and SETD2 are bona fide tumor suppressors in lung adenocarinoma. 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 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 Specifically, inhibition of WNT signaling by a Porcupine inhibitor prevent tumor onset, while constitutive activation of the pathway drive tumor progression to high grade. 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 SETD2 is a histone methyltransferase that deposits trimethylation marks on H3K36</w:t>
      </w:r>
      <w:r>
        <w:t xml:space="preserve">(Bhattacharya and Workman, 2020)</w:t>
      </w:r>
      <w:r>
        <w:t xml:space="preserve">. 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 Data 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 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 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 One hypothesis is that SETD2 loss drives spurious transcriptional activation. 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 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 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 Another hypothesis is that the effect size of</w:t>
      </w:r>
      <w:r>
        <w:t xml:space="preserve"> </w:t>
      </w:r>
      <w:r>
        <w:rPr>
          <w:iCs/>
          <w:i/>
        </w:rPr>
        <w:t xml:space="preserve">trp53</w:t>
      </w:r>
      <w:r>
        <w:t xml:space="preserve"> </w:t>
      </w:r>
      <w:r>
        <w:t xml:space="preserve">loss is so small that many mice and tumors are needed to detect a robust cooperation. Indeed, p53 loss is not that to suddenly make tumors immediately proliferate. Rather, p53 loss merely allows for tumor cells to sample various transcriptional programs that can be co-opted for increased fitness in the face of stress. 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 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 Our data provides further insight into what biological mechanisms are important for BRAF</w:t>
      </w:r>
      <w:r>
        <w:rPr>
          <w:vertAlign w:val="superscript"/>
        </w:rPr>
        <w:t xml:space="preserve">V600E</w:t>
      </w:r>
      <w:r>
        <w:t xml:space="preserve"> </w:t>
      </w:r>
      <w:r>
        <w:t xml:space="preserve">lung tumorigenesis. Additional studies of SETD2’s role in lung adenocarcinoma will further reveal how it alters the evolution of lung adenocarcinomas. 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 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 Utltimetly, aiding to the refinement of cancer biology knowledge and precision oncology.</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694FC5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94A8E0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F8A74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4F64DB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3BAB8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65CCC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E067B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ACC06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FFAD6A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B34B4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5629A9"/>
    <w:pPr>
      <w:spacing w:after="120" w:before="0"/>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5629A9"/>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6a894e99cfd62a104f67d3ecf75754b618afe0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6a894e99cfd62a104f67d3ecf75754b618afe0c/"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6a894e99cfd62a104f67d3ecf75754b618afe0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6a894e99cfd62a104f67d3ecf75754b618afe0c/"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2022-03-28T23:56:52Z</dcterms:created>
  <dcterms:modified xsi:type="dcterms:W3CDTF">2022-03-28T23:56:52Z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